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9"/>
        <w:gridCol w:w="4111"/>
        <w:gridCol w:w="1843"/>
        <w:gridCol w:w="1589"/>
        <w:tblGridChange w:id="0">
          <w:tblGrid>
            <w:gridCol w:w="3089"/>
            <w:gridCol w:w="4111"/>
            <w:gridCol w:w="1843"/>
            <w:gridCol w:w="1589"/>
          </w:tblGrid>
        </w:tblGridChange>
      </w:tblGrid>
      <w:tr>
        <w:trPr>
          <w:trHeight w:val="420" w:hRule="atLeast"/>
        </w:trPr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</w:t>
            </w:r>
          </w:p>
        </w:tc>
      </w:tr>
      <w:tr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  <w:tcMar>
              <w:top w:w="113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Ghazzali For kids</w:t>
            </w:r>
          </w:p>
        </w:tc>
      </w:tr>
      <w:tr>
        <w:trPr>
          <w:trHeight w:val="500" w:hRule="atLeast"/>
        </w:trPr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Title</w:t>
            </w:r>
          </w:p>
        </w:tc>
        <w:tc>
          <w:tcPr>
            <w:gridSpan w:val="3"/>
            <w:tcMar>
              <w:top w:w="113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sz w:val="36"/>
                <w:szCs w:val="36"/>
                <w:rtl w:val="0"/>
              </w:rPr>
              <w:t xml:space="preserve">The Three Things We Need Most in This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Group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11-16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time:</w:t>
            </w:r>
          </w:p>
        </w:tc>
        <w:tc>
          <w:tcPr>
            <w:tcMar>
              <w:top w:w="113.0" w:type="dxa"/>
            </w:tcMar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 minutes</w:t>
            </w:r>
          </w:p>
        </w:tc>
      </w:tr>
      <w:tr>
        <w:trPr>
          <w:trHeight w:val="1560" w:hRule="atLeast"/>
        </w:trPr>
        <w:tc>
          <w:tcPr>
            <w:gridSpan w:val="4"/>
            <w:tcMar>
              <w:top w:w="113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   This world is like a seedbed giving us time and a chance to grow into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our true selves.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Some people waste so much money and time going beyond their three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worldly needs—food, clothing and shelter—that they waste their opportunity to focus on their spiritual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heart and growing into their best self.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How do I want to grow? Who do I want to become?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Do too many material belongings ever distract me from doing good deeds? How can I stop it?</w:t>
            </w:r>
          </w:p>
        </w:tc>
      </w:tr>
      <w:tr>
        <w:trPr>
          <w:trHeight w:val="3660" w:hRule="atLeast"/>
        </w:trPr>
        <w:tc>
          <w:tcPr>
            <w:gridSpan w:val="4"/>
            <w:tcMar>
              <w:top w:w="113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summary and activity breakdown: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workbook work from chapter 6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Reading of Chapter 8 and chapter 9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1 + discussion : Connecting to the Quran Discussion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Read to the children Surah 5 verse 87-88, and we will reflect upon its meaning.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shd w:fill="ffffff" w:val="clear"/>
              <w:spacing w:after="375" w:before="75" w:lineRule="auto"/>
              <w:contextualSpacing w:val="0"/>
              <w:rPr>
                <w:b w:val="0"/>
                <w:color w:val="777777"/>
                <w:sz w:val="23"/>
                <w:szCs w:val="23"/>
              </w:rPr>
            </w:pPr>
            <w:r w:rsidDel="00000000" w:rsidR="00000000" w:rsidRPr="00000000">
              <w:rPr>
                <w:b w:val="0"/>
                <w:color w:val="777777"/>
                <w:sz w:val="23"/>
                <w:szCs w:val="23"/>
                <w:rtl w:val="0"/>
              </w:rPr>
              <w:t xml:space="preserve">87 - You who believe, do not forbid the good things God has made lawful to you- do not exceed the limits: God does not love those who exceed the limits6</w:t>
              <w:br w:type="textWrapping"/>
              <w:t xml:space="preserve">88 - but eat the lawful and good things that God provides for you. Be mindful of God, in whom you believe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Key question-  What are the forbidden thigns? What has been made lawful? Why limits? Why would God love those? Link to wasting water, recycling, etc.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2 – the story of stuff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This is a fun 20-minute documentary that does a superb job of educating about material surplus in an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inspirational manner. Children tend to enjoy it and easily understand its message:  https://www.youtube.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com/watch?v=9GorqroigqM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3</w:t>
            </w:r>
            <w:r w:rsidDel="00000000" w:rsidR="00000000" w:rsidRPr="00000000">
              <w:rPr>
                <w:rFonts w:ascii="JaghbUni-Bold" w:cs="JaghbUni-Bold" w:eastAsia="JaghbUni-Bold" w:hAnsi="JaghbUni-Bold"/>
                <w:b w:val="1"/>
                <w:rtl w:val="0"/>
              </w:rPr>
              <w:t xml:space="preserve">: Sing Dawud Wharnsby’s “Rose”</w:t>
            </w:r>
            <w:r w:rsidDel="00000000" w:rsidR="00000000" w:rsidRPr="00000000">
              <w:rPr>
                <w:b w:val="1"/>
                <w:rtl w:val="0"/>
              </w:rPr>
              <w:t xml:space="preserve"> With younger kids, it will be a sing along class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hyperlink r:id="rId6">
              <w:r w:rsidDel="00000000" w:rsidR="00000000" w:rsidRPr="00000000">
                <w:rPr>
                  <w:rFonts w:ascii="JaghbUni" w:cs="JaghbUni" w:eastAsia="JaghbUni" w:hAnsi="JaghbUni"/>
                  <w:strike w:val="0"/>
                  <w:color w:val="ea141f"/>
                  <w:u w:val="none"/>
                  <w:rtl w:val="0"/>
                </w:rPr>
                <w:t xml:space="preserve">https://www.youtube.com/watch?v=E_2fcd3g0y4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JaghbUni-Bold" w:cs="JaghbUni-Bold" w:eastAsia="JaghbUni-Bold" w:hAnsi="JaghbUni-Bold"/>
                <w:b w:val="1"/>
              </w:rPr>
            </w:pPr>
            <w:r w:rsidDel="00000000" w:rsidR="00000000" w:rsidRPr="00000000">
              <w:rPr>
                <w:rFonts w:ascii="JaghbUni-Bold" w:cs="JaghbUni-Bold" w:eastAsia="JaghbUni-Bold" w:hAnsi="JaghbUni-Bold"/>
                <w:b w:val="1"/>
                <w:rtl w:val="0"/>
              </w:rPr>
              <w:t xml:space="preserve">“Rose”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I wonder if a thorny twig even knows,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that one day it will blossom and will grow a lovely rose.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I wonder of my own life, what is it I’ll be?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The twiggy little stick I am—will I become a tree?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Roots so deep and strong, my arms up to the sky?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Bring cool shade, sweet fruits and flowers to those who pass me by?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God gives us choices to grow in better ways.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Our best is yet to come, as long as we wake to new days.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So, though today I’m small, there will come an hour.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Tomorrow may be my day, to blossom, bloom and flower.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If it’s meant to be, and God wills it for me,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I will beautify this world, like a rose bush or fruit tree.</w:t>
            </w:r>
          </w:p>
          <w:p w:rsidR="00000000" w:rsidDel="00000000" w:rsidP="00000000" w:rsidRDefault="00000000" w:rsidRPr="00000000" w14:paraId="00000042">
            <w:pPr>
              <w:tabs>
                <w:tab w:val="center" w:pos="5208"/>
              </w:tabs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Just be patient with me, we’ll wait and see.</w:t>
              <w:tab/>
            </w:r>
          </w:p>
          <w:p w:rsidR="00000000" w:rsidDel="00000000" w:rsidP="00000000" w:rsidRDefault="00000000" w:rsidRPr="00000000" w14:paraId="00000043">
            <w:pPr>
              <w:tabs>
                <w:tab w:val="center" w:pos="5208"/>
              </w:tabs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5208"/>
              </w:tabs>
              <w:spacing w:after="0" w:line="240" w:lineRule="auto"/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center" w:pos="5208"/>
              </w:tabs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Older students- present this as poetry. Let them spend some time with poetry. Will be looking to see how children react.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JaghbUni-Bold" w:cs="JaghbUni-Bold" w:eastAsia="JaghbUni-Bold" w:hAnsi="JaghbUni-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Vitrue of the week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JaghbUni" w:cs="JaghbUni" w:eastAsia="JaghbUni" w:hAnsi="JaghbUni"/>
              </w:rPr>
            </w:pPr>
            <w:r w:rsidDel="00000000" w:rsidR="00000000" w:rsidRPr="00000000">
              <w:rPr>
                <w:rFonts w:ascii="JaghbUni" w:cs="JaghbUni" w:eastAsia="JaghbUni" w:hAnsi="JaghbUni"/>
                <w:rtl w:val="0"/>
              </w:rPr>
              <w:t xml:space="preserve">Arguing is opposite to Calm, Respectful Discussion and Being Peaceful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Rasul Allah (sal Allahu alaihi wa sallam) said: “Whoever does not argue when he is in the wrong will have a home built for him on the edge of Paradise. Whoever avoids it when he in the right will have a home built for him in the middle of Paradise. And whoever improves his own character, a home will be built for him in the highest part of Paradise.” [Tirmidhi]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Would you be friends with someone who always argues with you? 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َّ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ٌ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ً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ك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ان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وا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ِ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وت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ُ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وا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ال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َ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1"/>
              </w:rPr>
              <w:t xml:space="preserve">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َ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No people go astray after being guided except that they indulge in arguments.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Malik ibn Anas, may Allah have mercy on him, said: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Disputation and arguments about sacred knowledge cause the light of knowledge to extinguish in a man’s heart.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Disputation about sacred knowledge causes the heart to harden and breeds hatred.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gridSpan w:val="4"/>
            <w:tcMar>
              <w:top w:w="113.0" w:type="dxa"/>
            </w:tcMar>
          </w:tcPr>
          <w:p w:rsidR="00000000" w:rsidDel="00000000" w:rsidP="00000000" w:rsidRDefault="00000000" w:rsidRPr="00000000" w14:paraId="0000005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Resources/equipment: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Projector, laptop, board, pens</w:t>
            </w:r>
          </w:p>
        </w:tc>
      </w:tr>
      <w:tr>
        <w:trPr>
          <w:trHeight w:val="1300" w:hRule="atLeast"/>
        </w:trPr>
        <w:tc>
          <w:tcPr>
            <w:gridSpan w:val="4"/>
            <w:tcMar>
              <w:top w:w="113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Homework: Review notes +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0"/>
      <w:pgMar w:bottom="284" w:top="1152" w:left="1800" w:right="1800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ghbUni"/>
  <w:font w:name="JaghbUni-Bold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300"/>
      </w:tabs>
      <w:spacing w:after="0" w:before="0" w:line="240" w:lineRule="auto"/>
      <w:ind w:left="0" w:right="0" w:hanging="1134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THE HUB CLUB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4893945</wp:posOffset>
          </wp:positionH>
          <wp:positionV relativeFrom="paragraph">
            <wp:posOffset>-353964</wp:posOffset>
          </wp:positionV>
          <wp:extent cx="1152000" cy="865249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000" cy="8652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1134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LESSON PLAN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1A2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 w:val="1"/>
    <w:rsid w:val="00C8490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81A2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81A24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1A24"/>
  </w:style>
  <w:style w:type="character" w:styleId="Hyperlink">
    <w:name w:val="Hyperlink"/>
    <w:basedOn w:val="DefaultParagraphFont"/>
    <w:uiPriority w:val="99"/>
    <w:unhideWhenUsed w:val="1"/>
    <w:rsid w:val="00201739"/>
    <w:rPr>
      <w:strike w:val="0"/>
      <w:dstrike w:val="0"/>
      <w:color w:val="ea141f"/>
      <w:u w:val="none"/>
      <w:effect w:val="none"/>
    </w:rPr>
  </w:style>
  <w:style w:type="character" w:styleId="Emphasis">
    <w:name w:val="Emphasis"/>
    <w:basedOn w:val="DefaultParagraphFont"/>
    <w:uiPriority w:val="20"/>
    <w:qFormat w:val="1"/>
    <w:rsid w:val="00201739"/>
    <w:rPr>
      <w:rFonts w:ascii="Georgia" w:hAnsi="Georgia" w:hint="default"/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201739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201739"/>
    <w:pPr>
      <w:spacing w:after="300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84906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_2fcd3g0y4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